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F8" w:rsidRPr="005466F8" w:rsidRDefault="005466F8" w:rsidP="005466F8">
      <w:pPr>
        <w:widowControl w:val="0"/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b/>
          <w:sz w:val="20"/>
          <w:szCs w:val="20"/>
          <w:lang w:eastAsia="hu-HU"/>
        </w:rPr>
        <w:t>TÁJÉKOZTATÓ</w:t>
      </w:r>
    </w:p>
    <w:p w:rsidR="005466F8" w:rsidRPr="005466F8" w:rsidRDefault="005466F8" w:rsidP="005466F8">
      <w:pPr>
        <w:widowControl w:val="0"/>
        <w:spacing w:after="0" w:line="240" w:lineRule="auto"/>
        <w:jc w:val="center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proofErr w:type="gramStart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a</w:t>
      </w:r>
      <w:proofErr w:type="gramEnd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kis, közép, és mikro vállalkozások besorolásáról</w:t>
      </w:r>
    </w:p>
    <w:p w:rsidR="005466F8" w:rsidRPr="005466F8" w:rsidRDefault="005466F8" w:rsidP="005466F8">
      <w:pPr>
        <w:widowControl w:val="0"/>
        <w:spacing w:after="0" w:line="240" w:lineRule="auto"/>
        <w:jc w:val="center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(vállalkozóvá válást elősegítő támogatás esetén nem kötelező melléklet)</w:t>
      </w:r>
      <w:bookmarkStart w:id="0" w:name="_GoBack"/>
      <w:bookmarkEnd w:id="0"/>
    </w:p>
    <w:p w:rsidR="005466F8" w:rsidRPr="005466F8" w:rsidRDefault="005466F8" w:rsidP="005466F8">
      <w:pPr>
        <w:widowControl w:val="0"/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A kis- és középvállalkozásokról, fejlődésük támogatásáról szóló 2004. évi XXXIV. törvény (a továbbiakban: KKV tv.) alapján a Nemzeti Foglalkoztatási Alap kezelőjének – az előző év adatai alapján – minden év június 30-ig adatot kell szolgáltatni a gazdaságpolitikáért felelős miniszter részére az KKV-oknak nyújtott támogatásokról. Az adatszolgáltatás teljesítése érdekében a vállalkozásnak nyilatkoznia kell arról, hogy közép-, kis-, vagy mikro vállalkozásnak minősül-e (ezt az állami foglalkoztatási szerv nyilvántartja). Nyilatkozattételre az egyéni vállalkozás, a gazdasági társaság, a szövetkezet, a vízi társulat, a vízi közmű társulat, továbbá az erdő birtokossági társulat kötelezett.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5466F8" w:rsidRPr="005466F8" w:rsidRDefault="005466F8" w:rsidP="005466F8">
      <w:pPr>
        <w:tabs>
          <w:tab w:val="left" w:pos="2445"/>
          <w:tab w:val="righ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iCs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b/>
          <w:bCs/>
          <w:iCs/>
          <w:color w:val="000000"/>
          <w:sz w:val="20"/>
          <w:szCs w:val="20"/>
          <w:lang w:eastAsia="hu-HU"/>
        </w:rPr>
        <w:t>Egyéni vállalkozás</w:t>
      </w:r>
    </w:p>
    <w:p w:rsidR="005466F8" w:rsidRPr="005466F8" w:rsidRDefault="005466F8" w:rsidP="005466F8">
      <w:pPr>
        <w:tabs>
          <w:tab w:val="left" w:pos="2445"/>
          <w:tab w:val="righ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iCs/>
          <w:color w:val="000000"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 xml:space="preserve">A KKV tv. </w:t>
      </w:r>
      <w:proofErr w:type="gramStart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alapján</w:t>
      </w:r>
      <w:proofErr w:type="gramEnd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 xml:space="preserve"> egyéni vállalkozás az egyéni vállalkozóról és az egyéni cégről szóló 2009. évi CXV. törvény (a továbbiakban: </w:t>
      </w:r>
      <w:proofErr w:type="spellStart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Evtv</w:t>
      </w:r>
      <w:proofErr w:type="spellEnd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.) szerinti vállalkozás. Eszerint a Magyarország területén természetes személy a szolgáltatási tevékenység megkezdésének és folytatásának általános szabályairól szóló törvény szerinti letelepedés keretében üzletszerű – rendszeresen, nyereség- és vagyonszerzés céljából, saját gazdasági kockázatvállalás mellett folytatott – gazdasági tevékenységet egyéni vállalkozóként végezhet.</w:t>
      </w:r>
    </w:p>
    <w:p w:rsidR="005466F8" w:rsidRPr="005466F8" w:rsidRDefault="005466F8" w:rsidP="005466F8">
      <w:pPr>
        <w:tabs>
          <w:tab w:val="left" w:pos="2445"/>
          <w:tab w:val="righ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iCs/>
          <w:color w:val="000000"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 xml:space="preserve">Az </w:t>
      </w:r>
      <w:proofErr w:type="spellStart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Evtv</w:t>
      </w:r>
      <w:proofErr w:type="spellEnd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. rendelkezéseit nem kell alkalmazni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proofErr w:type="gramStart"/>
      <w:r w:rsidRPr="005466F8">
        <w:rPr>
          <w:rFonts w:ascii="Palatino Linotype" w:eastAsia="Times New Roman" w:hAnsi="Palatino Linotype" w:cs="Times New Roman"/>
          <w:iCs/>
          <w:color w:val="000000"/>
          <w:sz w:val="20"/>
          <w:szCs w:val="20"/>
          <w:lang w:eastAsia="hu-HU"/>
        </w:rPr>
        <w:t>a</w:t>
      </w:r>
      <w:proofErr w:type="gramEnd"/>
      <w:r w:rsidRPr="005466F8">
        <w:rPr>
          <w:rFonts w:ascii="Palatino Linotype" w:eastAsia="Times New Roman" w:hAnsi="Palatino Linotype" w:cs="Times New Roman"/>
          <w:iCs/>
          <w:color w:val="000000"/>
          <w:sz w:val="20"/>
          <w:szCs w:val="20"/>
          <w:lang w:eastAsia="hu-HU"/>
        </w:rPr>
        <w:t xml:space="preserve">) </w:t>
      </w:r>
      <w:proofErr w:type="spellStart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a</w:t>
      </w:r>
      <w:proofErr w:type="spellEnd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 xml:space="preserve"> személyi jövedelemadóról szóló törvény szerinti mezőgazdasági őstermelői tevékenységre,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iCs/>
          <w:color w:val="000000"/>
          <w:sz w:val="20"/>
          <w:szCs w:val="20"/>
          <w:lang w:eastAsia="hu-HU"/>
        </w:rPr>
        <w:t xml:space="preserve">b) </w:t>
      </w: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a szolgáltató-állatorvosi tevékenységre,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iCs/>
          <w:color w:val="000000"/>
          <w:sz w:val="20"/>
          <w:szCs w:val="20"/>
          <w:lang w:eastAsia="hu-HU"/>
        </w:rPr>
        <w:t xml:space="preserve">c) </w:t>
      </w: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az ügyvédi tevékenységre,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iCs/>
          <w:color w:val="000000"/>
          <w:sz w:val="20"/>
          <w:szCs w:val="20"/>
          <w:lang w:eastAsia="hu-HU"/>
        </w:rPr>
        <w:t xml:space="preserve">d) </w:t>
      </w: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az egyéni szabadalmi ügyvivői tevékenységre,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proofErr w:type="gramStart"/>
      <w:r w:rsidRPr="005466F8">
        <w:rPr>
          <w:rFonts w:ascii="Palatino Linotype" w:eastAsia="Times New Roman" w:hAnsi="Palatino Linotype" w:cs="Times New Roman"/>
          <w:iCs/>
          <w:color w:val="000000"/>
          <w:sz w:val="20"/>
          <w:szCs w:val="20"/>
          <w:lang w:eastAsia="hu-HU"/>
        </w:rPr>
        <w:t>e</w:t>
      </w:r>
      <w:proofErr w:type="gramEnd"/>
      <w:r w:rsidRPr="005466F8">
        <w:rPr>
          <w:rFonts w:ascii="Palatino Linotype" w:eastAsia="Times New Roman" w:hAnsi="Palatino Linotype" w:cs="Times New Roman"/>
          <w:iCs/>
          <w:color w:val="000000"/>
          <w:sz w:val="20"/>
          <w:szCs w:val="20"/>
          <w:lang w:eastAsia="hu-HU"/>
        </w:rPr>
        <w:t xml:space="preserve">) </w:t>
      </w: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a közjegyzői tevékenységre,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proofErr w:type="gramStart"/>
      <w:r w:rsidRPr="005466F8">
        <w:rPr>
          <w:rFonts w:ascii="Palatino Linotype" w:eastAsia="Times New Roman" w:hAnsi="Palatino Linotype" w:cs="Times New Roman"/>
          <w:iCs/>
          <w:color w:val="000000"/>
          <w:sz w:val="20"/>
          <w:szCs w:val="20"/>
          <w:lang w:eastAsia="hu-HU"/>
        </w:rPr>
        <w:t>f</w:t>
      </w:r>
      <w:proofErr w:type="gramEnd"/>
      <w:r w:rsidRPr="005466F8">
        <w:rPr>
          <w:rFonts w:ascii="Palatino Linotype" w:eastAsia="Times New Roman" w:hAnsi="Palatino Linotype" w:cs="Times New Roman"/>
          <w:iCs/>
          <w:color w:val="000000"/>
          <w:sz w:val="20"/>
          <w:szCs w:val="20"/>
          <w:lang w:eastAsia="hu-HU"/>
        </w:rPr>
        <w:t xml:space="preserve">) </w:t>
      </w: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az önálló bírósági végrehajtói tevékenységre,</w:t>
      </w:r>
    </w:p>
    <w:p w:rsidR="005466F8" w:rsidRPr="005466F8" w:rsidRDefault="005466F8" w:rsidP="005466F8">
      <w:pPr>
        <w:spacing w:after="0" w:line="240" w:lineRule="auto"/>
        <w:rPr>
          <w:rFonts w:ascii="Palatino Linotype" w:eastAsia="Times New Roman" w:hAnsi="Palatino Linotype" w:cs="Times New Roman"/>
          <w:bCs/>
          <w:iCs/>
          <w:color w:val="000000"/>
          <w:sz w:val="20"/>
          <w:szCs w:val="20"/>
          <w:lang w:eastAsia="hu-HU"/>
        </w:rPr>
      </w:pPr>
      <w:proofErr w:type="gramStart"/>
      <w:r w:rsidRPr="005466F8">
        <w:rPr>
          <w:rFonts w:ascii="Palatino Linotype" w:eastAsia="Times New Roman" w:hAnsi="Palatino Linotype" w:cs="Times New Roman"/>
          <w:bCs/>
          <w:iCs/>
          <w:color w:val="000000"/>
          <w:sz w:val="20"/>
          <w:szCs w:val="20"/>
          <w:lang w:eastAsia="hu-HU"/>
        </w:rPr>
        <w:t>azonban</w:t>
      </w:r>
      <w:proofErr w:type="gramEnd"/>
      <w:r w:rsidRPr="005466F8">
        <w:rPr>
          <w:rFonts w:ascii="Palatino Linotype" w:eastAsia="Times New Roman" w:hAnsi="Palatino Linotype" w:cs="Times New Roman"/>
          <w:bCs/>
          <w:iCs/>
          <w:color w:val="000000"/>
          <w:sz w:val="20"/>
          <w:szCs w:val="20"/>
          <w:lang w:eastAsia="hu-HU"/>
        </w:rPr>
        <w:t xml:space="preserve">, a fenti tevékenységet végző egyéni vállalkozónak is eleget kell tennie a KKV tv. </w:t>
      </w:r>
      <w:proofErr w:type="gramStart"/>
      <w:r w:rsidRPr="005466F8">
        <w:rPr>
          <w:rFonts w:ascii="Palatino Linotype" w:eastAsia="Times New Roman" w:hAnsi="Palatino Linotype" w:cs="Times New Roman"/>
          <w:bCs/>
          <w:iCs/>
          <w:color w:val="000000"/>
          <w:sz w:val="20"/>
          <w:szCs w:val="20"/>
          <w:lang w:eastAsia="hu-HU"/>
        </w:rPr>
        <w:t>alapján</w:t>
      </w:r>
      <w:proofErr w:type="gramEnd"/>
      <w:r w:rsidRPr="005466F8">
        <w:rPr>
          <w:rFonts w:ascii="Palatino Linotype" w:eastAsia="Times New Roman" w:hAnsi="Palatino Linotype" w:cs="Times New Roman"/>
          <w:bCs/>
          <w:iCs/>
          <w:color w:val="000000"/>
          <w:sz w:val="20"/>
          <w:szCs w:val="20"/>
          <w:lang w:eastAsia="hu-HU"/>
        </w:rPr>
        <w:t xml:space="preserve"> őt terhelő nyilatkozattételi kötelezettségének .</w:t>
      </w:r>
    </w:p>
    <w:p w:rsidR="005466F8" w:rsidRPr="005466F8" w:rsidRDefault="005466F8" w:rsidP="005466F8">
      <w:pPr>
        <w:tabs>
          <w:tab w:val="left" w:pos="2445"/>
          <w:tab w:val="righ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bCs/>
          <w:iCs/>
          <w:color w:val="000000"/>
          <w:sz w:val="20"/>
          <w:szCs w:val="20"/>
          <w:lang w:eastAsia="hu-HU"/>
        </w:rPr>
      </w:pPr>
    </w:p>
    <w:p w:rsidR="005466F8" w:rsidRPr="005466F8" w:rsidRDefault="005466F8" w:rsidP="005466F8">
      <w:pPr>
        <w:tabs>
          <w:tab w:val="left" w:pos="2445"/>
          <w:tab w:val="righ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b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b/>
          <w:color w:val="000000"/>
          <w:sz w:val="20"/>
          <w:szCs w:val="20"/>
          <w:lang w:eastAsia="hu-HU"/>
        </w:rPr>
        <w:t>Egyéni cég: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Az egyéni cég az egyéni vállalkozói nyilvántartásban szereplő természetes személy által alapított, jogi személyiséggel nem rendelkező jogalany, amely a cégnyilvántartásba történő bejegyzéssel jön létre. Az egyéni cég jogképes.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20"/>
          <w:szCs w:val="20"/>
          <w:u w:val="single"/>
          <w:lang w:eastAsia="hu-HU"/>
        </w:rPr>
      </w:pPr>
    </w:p>
    <w:p w:rsidR="005466F8" w:rsidRPr="005466F8" w:rsidRDefault="005466F8" w:rsidP="005466F8">
      <w:pPr>
        <w:tabs>
          <w:tab w:val="left" w:pos="2445"/>
          <w:tab w:val="right" w:pos="88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b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b/>
          <w:color w:val="000000"/>
          <w:sz w:val="20"/>
          <w:szCs w:val="20"/>
          <w:lang w:eastAsia="hu-HU"/>
        </w:rPr>
        <w:t>Gazdasági társaság: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Jogi személyiségű gazdasági társaság: a közkereseti és a betéti társaság, a korlátolt felelősségű társaság és a részvénytársaság.</w:t>
      </w: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 xml:space="preserve">2005. január 1-jétől egy vállalkozás az alábbi mutatók figyelembe vételével határozza meg a jellegét. A táblázatban foglaltak közül a megelőző évi beszámoló alapján a </w:t>
      </w:r>
      <w:proofErr w:type="spellStart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>foglalkoztatotti</w:t>
      </w:r>
      <w:proofErr w:type="spellEnd"/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 xml:space="preserve"> létszámnak, valamint a pénzügyi határértékek (éves nettó árbevétel, mérleg főösszeg) közül valamelyiknek (egyiknek) kell eleget tenni.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54"/>
        <w:gridCol w:w="1276"/>
        <w:gridCol w:w="1597"/>
        <w:gridCol w:w="1843"/>
      </w:tblGrid>
      <w:tr w:rsidR="005466F8" w:rsidRPr="005466F8" w:rsidTr="00EE7839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 xml:space="preserve">Összes </w:t>
            </w:r>
            <w:proofErr w:type="spellStart"/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>foglalkoztatotti</w:t>
            </w:r>
            <w:proofErr w:type="spellEnd"/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 xml:space="preserve"> létszáma kevesebb, mint</w:t>
            </w:r>
          </w:p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 xml:space="preserve"> (fő)</w:t>
            </w:r>
          </w:p>
        </w:tc>
        <w:tc>
          <w:tcPr>
            <w:tcW w:w="2873" w:type="dxa"/>
            <w:gridSpan w:val="2"/>
            <w:shd w:val="clear" w:color="auto" w:fill="auto"/>
            <w:vAlign w:val="center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>Éves nettó árbevétel</w:t>
            </w:r>
            <w:r w:rsidRPr="005466F8">
              <w:rPr>
                <w:rFonts w:ascii="Palatino Linotype" w:eastAsia="Times New Roman" w:hAnsi="Palatino Linotype" w:cs="Arial"/>
                <w:i/>
                <w:sz w:val="20"/>
                <w:szCs w:val="20"/>
                <w:lang w:eastAsia="hu-HU"/>
              </w:rPr>
              <w:t>*</w:t>
            </w:r>
          </w:p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>legfeljebb</w:t>
            </w:r>
          </w:p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>(millió euró)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>Mérleg főösszeg</w:t>
            </w:r>
            <w:r w:rsidRPr="005466F8">
              <w:rPr>
                <w:rFonts w:ascii="Palatino Linotype" w:eastAsia="Times New Roman" w:hAnsi="Palatino Linotype" w:cs="Arial"/>
                <w:i/>
                <w:sz w:val="20"/>
                <w:szCs w:val="20"/>
                <w:lang w:eastAsia="hu-HU"/>
              </w:rPr>
              <w:t>*</w:t>
            </w:r>
          </w:p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>legfeljebb</w:t>
            </w:r>
          </w:p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i/>
                <w:sz w:val="20"/>
                <w:szCs w:val="20"/>
                <w:lang w:eastAsia="hu-HU"/>
              </w:rPr>
              <w:t>(millió euró)</w:t>
            </w:r>
          </w:p>
        </w:tc>
      </w:tr>
      <w:tr w:rsidR="005466F8" w:rsidRPr="005466F8" w:rsidTr="00EE7839">
        <w:trPr>
          <w:jc w:val="center"/>
        </w:trPr>
        <w:tc>
          <w:tcPr>
            <w:tcW w:w="1780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Középvállalkozás</w:t>
            </w:r>
          </w:p>
        </w:tc>
        <w:tc>
          <w:tcPr>
            <w:tcW w:w="2654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1276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597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43</w:t>
            </w:r>
          </w:p>
        </w:tc>
      </w:tr>
      <w:tr w:rsidR="005466F8" w:rsidRPr="005466F8" w:rsidTr="00EE7839">
        <w:trPr>
          <w:jc w:val="center"/>
        </w:trPr>
        <w:tc>
          <w:tcPr>
            <w:tcW w:w="1780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Kisvállalkozás</w:t>
            </w:r>
          </w:p>
        </w:tc>
        <w:tc>
          <w:tcPr>
            <w:tcW w:w="2654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597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10</w:t>
            </w:r>
          </w:p>
        </w:tc>
      </w:tr>
      <w:tr w:rsidR="005466F8" w:rsidRPr="005466F8" w:rsidTr="00EE7839">
        <w:trPr>
          <w:jc w:val="center"/>
        </w:trPr>
        <w:tc>
          <w:tcPr>
            <w:tcW w:w="1780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proofErr w:type="spellStart"/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Mikrovállalkozás</w:t>
            </w:r>
            <w:proofErr w:type="spellEnd"/>
          </w:p>
        </w:tc>
        <w:tc>
          <w:tcPr>
            <w:tcW w:w="2654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597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vagy</w:t>
            </w:r>
          </w:p>
        </w:tc>
        <w:tc>
          <w:tcPr>
            <w:tcW w:w="1843" w:type="dxa"/>
            <w:shd w:val="clear" w:color="auto" w:fill="auto"/>
          </w:tcPr>
          <w:p w:rsidR="005466F8" w:rsidRPr="005466F8" w:rsidRDefault="005466F8" w:rsidP="005466F8">
            <w:pPr>
              <w:widowControl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</w:pPr>
            <w:r w:rsidRPr="005466F8">
              <w:rPr>
                <w:rFonts w:ascii="Palatino Linotype" w:eastAsia="Times New Roman" w:hAnsi="Palatino Linotype" w:cs="Times New Roman"/>
                <w:sz w:val="20"/>
                <w:szCs w:val="20"/>
                <w:lang w:eastAsia="hu-HU"/>
              </w:rPr>
              <w:t>2</w:t>
            </w:r>
          </w:p>
        </w:tc>
      </w:tr>
    </w:tbl>
    <w:p w:rsidR="005466F8" w:rsidRPr="005466F8" w:rsidRDefault="005466F8" w:rsidP="005466F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i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i/>
          <w:sz w:val="20"/>
          <w:szCs w:val="20"/>
          <w:lang w:eastAsia="hu-HU"/>
        </w:rPr>
        <w:lastRenderedPageBreak/>
        <w:t>*Az euróban megadott összeg alatt az annak megfelelő forintösszeg értendő, amelyet a vállalkozás üzleti évének lezárásakor (mérleg fordulónap) érvényes, újonnan alapított vállalkozás esetén a megelőző naptári év utolsó napján érvényes, az MNB által megállapított deviza középárfolyamon (</w:t>
      </w:r>
      <w:hyperlink r:id="rId8" w:history="1">
        <w:r w:rsidRPr="005466F8">
          <w:rPr>
            <w:rFonts w:ascii="Palatino Linotype" w:eastAsia="Times New Roman" w:hAnsi="Palatino Linotype" w:cs="Times New Roman"/>
            <w:i/>
            <w:color w:val="0000FF"/>
            <w:sz w:val="20"/>
            <w:szCs w:val="20"/>
            <w:u w:val="single"/>
            <w:lang w:eastAsia="hu-HU"/>
          </w:rPr>
          <w:t>www.mnb.hu</w:t>
        </w:r>
      </w:hyperlink>
      <w:r w:rsidRPr="005466F8">
        <w:rPr>
          <w:rFonts w:ascii="Palatino Linotype" w:eastAsia="Times New Roman" w:hAnsi="Palatino Linotype" w:cs="Times New Roman"/>
          <w:i/>
          <w:sz w:val="20"/>
          <w:szCs w:val="20"/>
          <w:lang w:eastAsia="hu-HU"/>
        </w:rPr>
        <w:t>) kell átszámítani.</w:t>
      </w:r>
    </w:p>
    <w:p w:rsidR="005466F8" w:rsidRPr="005466F8" w:rsidRDefault="005466F8" w:rsidP="005466F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Nem minősül KKV-nak az a vállalkozás, amelyben az állami, illetve önkormányzati tulajdon közvetve vagy közvetlenül – tőke vagy szavazati jog alapján, együttesen vagy külön – meghaladja a 25 százalékot.</w:t>
      </w:r>
    </w:p>
    <w:p w:rsidR="005466F8" w:rsidRPr="005466F8" w:rsidRDefault="005466F8" w:rsidP="005466F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A fenti mutatók túllépése, vagy az azokban fennálló csökkenés csak akkor eredményezi a vállalkozás jellegének megváltozását, ha a határértéket két, egymást követő beszámoló időszakban túllépi, vagy elmarad az érték a megjelölt határértéktől. A besorolás időpontjában a rendelkezésre álló két előző évi beszámoló az irányadó.</w:t>
      </w:r>
    </w:p>
    <w:p w:rsidR="005466F8" w:rsidRPr="005466F8" w:rsidRDefault="005466F8" w:rsidP="005466F8">
      <w:pPr>
        <w:widowControl w:val="0"/>
        <w:numPr>
          <w:ilvl w:val="0"/>
          <w:numId w:val="1"/>
        </w:numPr>
        <w:tabs>
          <w:tab w:val="num" w:pos="426"/>
        </w:tabs>
        <w:spacing w:before="120" w:after="0" w:line="240" w:lineRule="auto"/>
        <w:ind w:left="426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Az egyéni vállalkozás minősítése az adóbevallása szerint, a </w:t>
      </w:r>
      <w:proofErr w:type="spellStart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foglalkoztatotti</w:t>
      </w:r>
      <w:proofErr w:type="spellEnd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létszám alapján történik.</w:t>
      </w:r>
    </w:p>
    <w:p w:rsidR="005466F8" w:rsidRPr="005466F8" w:rsidRDefault="005466F8" w:rsidP="005466F8">
      <w:pPr>
        <w:widowControl w:val="0"/>
        <w:numPr>
          <w:ilvl w:val="0"/>
          <w:numId w:val="1"/>
        </w:numPr>
        <w:tabs>
          <w:tab w:val="num" w:pos="426"/>
        </w:tabs>
        <w:spacing w:before="120" w:after="0" w:line="240" w:lineRule="auto"/>
        <w:ind w:left="426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Az egyszerűsített vállalkozói adóról szóló 2002. évi XLIII. törvény hatálya alá tartozó vállalkozás minősítése a saját nyilvántartása szerint, a </w:t>
      </w:r>
      <w:proofErr w:type="spellStart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foglalkoztatotti</w:t>
      </w:r>
      <w:proofErr w:type="spellEnd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létszám alapján történik (a KKV-nak történő minősítéséhez a vállalkozásnak </w:t>
      </w:r>
      <w:proofErr w:type="spellStart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foglalkoztatotti</w:t>
      </w:r>
      <w:proofErr w:type="spellEnd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létszámra vonatkozó nyilvántartással kell rendelkeznie).</w:t>
      </w:r>
    </w:p>
    <w:p w:rsidR="005466F8" w:rsidRPr="005466F8" w:rsidRDefault="005466F8" w:rsidP="005466F8">
      <w:pPr>
        <w:widowControl w:val="0"/>
        <w:numPr>
          <w:ilvl w:val="0"/>
          <w:numId w:val="1"/>
        </w:numPr>
        <w:tabs>
          <w:tab w:val="num" w:pos="426"/>
        </w:tabs>
        <w:spacing w:before="120" w:after="0" w:line="240" w:lineRule="auto"/>
        <w:ind w:left="426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Amennyiben az egyéni, illetve társas vállalkozás működési ideje 1 évnél rövidebb, az adatokat éves szintre kell vetíteni.</w:t>
      </w:r>
    </w:p>
    <w:p w:rsidR="005466F8" w:rsidRPr="005466F8" w:rsidRDefault="005466F8" w:rsidP="005466F8">
      <w:pPr>
        <w:widowControl w:val="0"/>
        <w:numPr>
          <w:ilvl w:val="0"/>
          <w:numId w:val="1"/>
        </w:numPr>
        <w:tabs>
          <w:tab w:val="num" w:pos="426"/>
        </w:tabs>
        <w:spacing w:before="120" w:after="0" w:line="240" w:lineRule="auto"/>
        <w:ind w:left="426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Éves beszámolóval, egyszerűsített beszámolóval, a Szja tv-ben előírt bevallással nem rendelkező újonnan alapított vállalkozás esetében a tárgyévre vonatkozó üzleti tervet kell figyelembe venni.</w:t>
      </w:r>
    </w:p>
    <w:p w:rsidR="005466F8" w:rsidRPr="005466F8" w:rsidRDefault="005466F8" w:rsidP="005466F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spacing w:after="0" w:line="48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Kelt</w:t>
      </w:r>
      <w:proofErr w:type="gramStart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: …</w:t>
      </w:r>
      <w:proofErr w:type="gramEnd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…………év ………….hó………nap</w:t>
      </w: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</w:p>
    <w:p w:rsidR="005466F8" w:rsidRPr="005466F8" w:rsidRDefault="005466F8" w:rsidP="005466F8">
      <w:pPr>
        <w:widowControl w:val="0"/>
        <w:tabs>
          <w:tab w:val="center" w:pos="6840"/>
        </w:tabs>
        <w:spacing w:after="0" w:line="240" w:lineRule="auto"/>
        <w:jc w:val="both"/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ab/>
        <w:t>…………………………………………..</w:t>
      </w:r>
    </w:p>
    <w:p w:rsidR="005466F8" w:rsidRPr="005466F8" w:rsidRDefault="005466F8" w:rsidP="005466F8">
      <w:pPr>
        <w:widowControl w:val="0"/>
        <w:tabs>
          <w:tab w:val="center" w:pos="6840"/>
        </w:tabs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color w:val="000000"/>
          <w:sz w:val="20"/>
          <w:szCs w:val="20"/>
          <w:lang w:eastAsia="hu-HU"/>
        </w:rPr>
        <w:tab/>
      </w:r>
      <w:proofErr w:type="gramStart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járási</w:t>
      </w:r>
      <w:proofErr w:type="gramEnd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(fővárosi kerületi) hivatal </w:t>
      </w:r>
    </w:p>
    <w:p w:rsidR="005466F8" w:rsidRPr="005466F8" w:rsidRDefault="005466F8" w:rsidP="005466F8">
      <w:pPr>
        <w:widowControl w:val="0"/>
        <w:spacing w:after="0" w:line="480" w:lineRule="auto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5466F8" w:rsidRPr="005466F8" w:rsidRDefault="005466F8" w:rsidP="005466F8">
      <w:pPr>
        <w:widowControl w:val="0"/>
        <w:spacing w:after="0" w:line="480" w:lineRule="auto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A </w:t>
      </w:r>
      <w:proofErr w:type="gramStart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tájékoztatót …</w:t>
      </w:r>
      <w:proofErr w:type="gramEnd"/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…………………… napon átvettem</w:t>
      </w:r>
      <w:r w:rsidRPr="005466F8">
        <w:rPr>
          <w:rFonts w:ascii="Palatino Linotype" w:eastAsia="Times New Roman" w:hAnsi="Palatino Linotype" w:cs="Times New Roman"/>
          <w:sz w:val="20"/>
          <w:szCs w:val="20"/>
          <w:vertAlign w:val="superscript"/>
          <w:lang w:eastAsia="hu-HU"/>
        </w:rPr>
        <w:footnoteReference w:id="1"/>
      </w: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: </w:t>
      </w: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  <w:r w:rsidRPr="005466F8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  <w:t xml:space="preserve"> ……………………………………</w:t>
      </w:r>
    </w:p>
    <w:p w:rsidR="00E4338E" w:rsidRDefault="00E4338E" w:rsidP="005466F8">
      <w:bookmarkStart w:id="1" w:name="_6._melléklet"/>
      <w:bookmarkEnd w:id="1"/>
    </w:p>
    <w:sectPr w:rsidR="00E433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65E" w:rsidRDefault="0023765E" w:rsidP="005466F8">
      <w:pPr>
        <w:spacing w:after="0" w:line="240" w:lineRule="auto"/>
      </w:pPr>
      <w:r>
        <w:separator/>
      </w:r>
    </w:p>
  </w:endnote>
  <w:endnote w:type="continuationSeparator" w:id="0">
    <w:p w:rsidR="0023765E" w:rsidRDefault="0023765E" w:rsidP="00546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98" w:rsidRDefault="0000029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98" w:rsidRDefault="0000029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98" w:rsidRDefault="0000029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65E" w:rsidRDefault="0023765E" w:rsidP="005466F8">
      <w:pPr>
        <w:spacing w:after="0" w:line="240" w:lineRule="auto"/>
      </w:pPr>
      <w:r>
        <w:separator/>
      </w:r>
    </w:p>
  </w:footnote>
  <w:footnote w:type="continuationSeparator" w:id="0">
    <w:p w:rsidR="0023765E" w:rsidRDefault="0023765E" w:rsidP="005466F8">
      <w:pPr>
        <w:spacing w:after="0" w:line="240" w:lineRule="auto"/>
      </w:pPr>
      <w:r>
        <w:continuationSeparator/>
      </w:r>
    </w:p>
  </w:footnote>
  <w:footnote w:id="1">
    <w:p w:rsidR="005466F8" w:rsidRPr="005F2B5A" w:rsidRDefault="005466F8" w:rsidP="005466F8">
      <w:pPr>
        <w:pStyle w:val="Lbjegyzetszveg"/>
        <w:rPr>
          <w:rFonts w:ascii="Palatino Linotype" w:hAnsi="Palatino Linotype"/>
          <w:sz w:val="16"/>
          <w:szCs w:val="16"/>
        </w:rPr>
      </w:pPr>
      <w:r w:rsidRPr="005F2B5A">
        <w:rPr>
          <w:rStyle w:val="Lbjegyzet-hivatkozs"/>
          <w:rFonts w:ascii="Palatino Linotype" w:hAnsi="Palatino Linotype"/>
          <w:sz w:val="16"/>
          <w:szCs w:val="16"/>
        </w:rPr>
        <w:footnoteRef/>
      </w:r>
      <w:r w:rsidRPr="005F2B5A">
        <w:rPr>
          <w:rFonts w:ascii="Palatino Linotype" w:hAnsi="Palatino Linotype"/>
          <w:sz w:val="16"/>
          <w:szCs w:val="16"/>
        </w:rPr>
        <w:t xml:space="preserve"> A mennyiben a támogatást nyújtó szervezeti egység ezt szükségesnek ítéli.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98" w:rsidRDefault="0023765E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5440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98" w:rsidRDefault="0023765E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5441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98" w:rsidRDefault="0023765E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5439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F8"/>
    <w:rsid w:val="00000298"/>
    <w:rsid w:val="0023765E"/>
    <w:rsid w:val="005466F8"/>
    <w:rsid w:val="00A97D33"/>
    <w:rsid w:val="00AE0E49"/>
    <w:rsid w:val="00E4338E"/>
    <w:rsid w:val="00EE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5466F8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5466F8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5466F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00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00298"/>
  </w:style>
  <w:style w:type="paragraph" w:styleId="llb">
    <w:name w:val="footer"/>
    <w:basedOn w:val="Norml"/>
    <w:link w:val="llbChar"/>
    <w:uiPriority w:val="99"/>
    <w:unhideWhenUsed/>
    <w:rsid w:val="00000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002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5466F8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5466F8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5466F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000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00298"/>
  </w:style>
  <w:style w:type="paragraph" w:styleId="llb">
    <w:name w:val="footer"/>
    <w:basedOn w:val="Norml"/>
    <w:link w:val="llbChar"/>
    <w:uiPriority w:val="99"/>
    <w:unhideWhenUsed/>
    <w:rsid w:val="00000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00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b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578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Dóra</dc:creator>
  <cp:lastModifiedBy>Horváth Dóra</cp:lastModifiedBy>
  <cp:revision>3</cp:revision>
  <dcterms:created xsi:type="dcterms:W3CDTF">2017-02-06T08:01:00Z</dcterms:created>
  <dcterms:modified xsi:type="dcterms:W3CDTF">2017-03-29T12:08:00Z</dcterms:modified>
</cp:coreProperties>
</file>